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32" w:rsidRDefault="000B11C1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申請</w:t>
      </w: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年度僑務委員會「僑務研究碩博士論文獎助」</w:t>
      </w:r>
    </w:p>
    <w:p w:rsidR="002B7932" w:rsidRDefault="000B11C1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注意事項</w:t>
      </w:r>
    </w:p>
    <w:p w:rsidR="002B7932" w:rsidRDefault="000B11C1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一、獎助對象：</w:t>
      </w:r>
    </w:p>
    <w:p w:rsidR="002B7932" w:rsidRDefault="000B11C1">
      <w:pPr>
        <w:pStyle w:val="Web"/>
        <w:spacing w:after="0" w:line="400" w:lineRule="exact"/>
        <w:ind w:left="646" w:hanging="646"/>
        <w:jc w:val="both"/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國內各大學院校</w:t>
      </w:r>
      <w:r>
        <w:rPr>
          <w:rFonts w:ascii="標楷體" w:eastAsia="標楷體" w:hAnsi="標楷體"/>
          <w:sz w:val="32"/>
          <w:szCs w:val="32"/>
        </w:rPr>
        <w:t>撰寫與</w:t>
      </w:r>
      <w:r>
        <w:rPr>
          <w:rFonts w:ascii="標楷體" w:eastAsia="標楷體" w:hAnsi="標楷體"/>
          <w:b/>
          <w:sz w:val="32"/>
          <w:szCs w:val="32"/>
        </w:rPr>
        <w:t>僑務相關</w:t>
      </w:r>
      <w:r>
        <w:rPr>
          <w:rFonts w:ascii="標楷體" w:eastAsia="標楷體" w:hAnsi="標楷體"/>
          <w:sz w:val="32"/>
          <w:szCs w:val="32"/>
        </w:rPr>
        <w:t>碩、博士論文之</w:t>
      </w:r>
      <w:r>
        <w:rPr>
          <w:rFonts w:ascii="標楷體" w:eastAsia="標楷體" w:hAnsi="標楷體"/>
          <w:b/>
          <w:sz w:val="32"/>
          <w:szCs w:val="32"/>
        </w:rPr>
        <w:t>109</w:t>
      </w:r>
      <w:r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/>
          <w:sz w:val="32"/>
          <w:szCs w:val="32"/>
        </w:rPr>
        <w:t>及</w:t>
      </w:r>
      <w:r>
        <w:rPr>
          <w:rFonts w:ascii="標楷體" w:eastAsia="標楷體" w:hAnsi="標楷體"/>
          <w:b/>
          <w:sz w:val="32"/>
          <w:szCs w:val="32"/>
        </w:rPr>
        <w:t>108</w:t>
      </w:r>
      <w:r>
        <w:rPr>
          <w:rFonts w:ascii="標楷體" w:eastAsia="標楷體" w:hAnsi="標楷體"/>
          <w:b/>
          <w:sz w:val="32"/>
          <w:szCs w:val="32"/>
        </w:rPr>
        <w:t>學年度畢業</w:t>
      </w:r>
      <w:r>
        <w:rPr>
          <w:rFonts w:ascii="標楷體" w:eastAsia="標楷體" w:hAnsi="標楷體"/>
          <w:sz w:val="32"/>
          <w:szCs w:val="32"/>
        </w:rPr>
        <w:t>研究生。</w:t>
      </w:r>
    </w:p>
    <w:p w:rsidR="002B7932" w:rsidRDefault="002B7932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</w:p>
    <w:p w:rsidR="002B7932" w:rsidRDefault="000B11C1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二、申請期間：</w:t>
      </w:r>
    </w:p>
    <w:p w:rsidR="002B7932" w:rsidRDefault="000B11C1">
      <w:pPr>
        <w:pStyle w:val="Web"/>
        <w:spacing w:after="0" w:line="400" w:lineRule="exact"/>
        <w:ind w:left="646" w:hanging="646"/>
        <w:jc w:val="both"/>
      </w:pPr>
      <w:r>
        <w:rPr>
          <w:rFonts w:ascii="標楷體" w:eastAsia="標楷體" w:hAnsi="標楷體"/>
          <w:sz w:val="32"/>
          <w:szCs w:val="32"/>
        </w:rPr>
        <w:t xml:space="preserve">    110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日至</w:t>
      </w:r>
      <w:r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>31</w:t>
      </w:r>
      <w:r>
        <w:rPr>
          <w:rFonts w:ascii="標楷體" w:eastAsia="標楷體" w:hAnsi="標楷體"/>
          <w:b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/>
          <w:sz w:val="32"/>
          <w:szCs w:val="32"/>
        </w:rPr>
        <w:t>以郵戳為憑</w:t>
      </w:r>
      <w:r>
        <w:rPr>
          <w:rFonts w:ascii="標楷體" w:eastAsia="標楷體" w:hAnsi="標楷體"/>
          <w:sz w:val="32"/>
          <w:szCs w:val="32"/>
        </w:rPr>
        <w:t>）。</w:t>
      </w:r>
    </w:p>
    <w:p w:rsidR="002B7932" w:rsidRDefault="002B7932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</w:p>
    <w:p w:rsidR="002B7932" w:rsidRDefault="000B11C1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三、獎助金金額：</w:t>
      </w:r>
    </w:p>
    <w:p w:rsidR="002B7932" w:rsidRDefault="000B11C1">
      <w:pPr>
        <w:pStyle w:val="Web"/>
        <w:tabs>
          <w:tab w:val="left" w:pos="1984"/>
        </w:tabs>
        <w:spacing w:after="0" w:line="400" w:lineRule="exact"/>
        <w:ind w:left="964" w:hanging="964"/>
        <w:jc w:val="both"/>
      </w:pPr>
      <w:r>
        <w:rPr>
          <w:rFonts w:ascii="標楷體" w:eastAsia="標楷體" w:hAnsi="標楷體"/>
          <w:sz w:val="32"/>
          <w:szCs w:val="32"/>
        </w:rPr>
        <w:t>（一）博士班畢業生最高新臺幣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萬元</w:t>
      </w:r>
      <w:r>
        <w:rPr>
          <w:rFonts w:ascii="標楷體" w:eastAsia="標楷體" w:hAnsi="標楷體"/>
          <w:sz w:val="32"/>
          <w:szCs w:val="32"/>
        </w:rPr>
        <w:t>，碩士班畢業生最高</w:t>
      </w:r>
      <w:r>
        <w:rPr>
          <w:rFonts w:ascii="標楷體" w:eastAsia="標楷體" w:hAnsi="標楷體"/>
          <w:b/>
          <w:sz w:val="32"/>
          <w:szCs w:val="32"/>
        </w:rPr>
        <w:t>3</w:t>
      </w:r>
      <w:r>
        <w:rPr>
          <w:rFonts w:ascii="標楷體" w:eastAsia="標楷體" w:hAnsi="標楷體"/>
          <w:b/>
          <w:sz w:val="32"/>
          <w:szCs w:val="32"/>
        </w:rPr>
        <w:t>萬元</w:t>
      </w:r>
      <w:r>
        <w:rPr>
          <w:rFonts w:ascii="標楷體" w:eastAsia="標楷體" w:hAnsi="標楷體"/>
          <w:sz w:val="32"/>
          <w:szCs w:val="32"/>
        </w:rPr>
        <w:t>。</w:t>
      </w:r>
    </w:p>
    <w:p w:rsidR="002B7932" w:rsidRDefault="000B11C1">
      <w:pPr>
        <w:pStyle w:val="Web"/>
        <w:tabs>
          <w:tab w:val="left" w:pos="1876"/>
          <w:tab w:val="left" w:pos="1924"/>
        </w:tabs>
        <w:spacing w:after="0" w:line="400" w:lineRule="exact"/>
        <w:ind w:left="964" w:hanging="964"/>
        <w:jc w:val="both"/>
      </w:pPr>
      <w:r>
        <w:rPr>
          <w:rFonts w:ascii="標楷體" w:eastAsia="標楷體" w:hAnsi="標楷體"/>
          <w:sz w:val="32"/>
          <w:szCs w:val="32"/>
        </w:rPr>
        <w:t>（二）博士論文指導教授新臺幣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萬元</w:t>
      </w:r>
      <w:r>
        <w:rPr>
          <w:rFonts w:ascii="標楷體" w:eastAsia="標楷體" w:hAnsi="標楷體"/>
          <w:sz w:val="32"/>
          <w:szCs w:val="32"/>
        </w:rPr>
        <w:t>，碩士論文指導教授新臺幣</w:t>
      </w:r>
      <w:r>
        <w:rPr>
          <w:rFonts w:ascii="標楷體" w:eastAsia="標楷體" w:hAnsi="標楷體"/>
          <w:b/>
          <w:sz w:val="32"/>
          <w:szCs w:val="32"/>
        </w:rPr>
        <w:t>6</w:t>
      </w:r>
      <w:r>
        <w:rPr>
          <w:rFonts w:ascii="標楷體" w:eastAsia="標楷體" w:hAnsi="標楷體"/>
          <w:b/>
          <w:sz w:val="32"/>
          <w:szCs w:val="32"/>
        </w:rPr>
        <w:t>千元</w:t>
      </w:r>
      <w:r>
        <w:rPr>
          <w:rFonts w:ascii="標楷體" w:eastAsia="標楷體" w:hAnsi="標楷體"/>
          <w:sz w:val="32"/>
          <w:szCs w:val="32"/>
        </w:rPr>
        <w:t>。</w:t>
      </w:r>
    </w:p>
    <w:p w:rsidR="002B7932" w:rsidRDefault="002B7932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</w:p>
    <w:p w:rsidR="002B7932" w:rsidRDefault="000B11C1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四、論文主題：</w:t>
      </w:r>
    </w:p>
    <w:p w:rsidR="002B7932" w:rsidRDefault="000B11C1">
      <w:pPr>
        <w:pStyle w:val="Web"/>
        <w:tabs>
          <w:tab w:val="left" w:pos="1984"/>
        </w:tabs>
        <w:spacing w:after="0" w:line="400" w:lineRule="exact"/>
        <w:ind w:left="964" w:hanging="964"/>
        <w:jc w:val="both"/>
      </w:pPr>
      <w:r>
        <w:rPr>
          <w:rFonts w:ascii="標楷體" w:eastAsia="標楷體" w:hAnsi="標楷體"/>
          <w:sz w:val="32"/>
          <w:szCs w:val="32"/>
        </w:rPr>
        <w:t>（一）申請獎助論文之</w:t>
      </w:r>
      <w:r>
        <w:rPr>
          <w:rFonts w:ascii="標楷體" w:eastAsia="標楷體" w:hAnsi="標楷體"/>
          <w:b/>
          <w:sz w:val="32"/>
          <w:szCs w:val="32"/>
        </w:rPr>
        <w:t>主題必須與僑務相關</w:t>
      </w:r>
      <w:r>
        <w:rPr>
          <w:rFonts w:ascii="標楷體" w:eastAsia="標楷體" w:hAnsi="標楷體"/>
          <w:sz w:val="32"/>
          <w:szCs w:val="32"/>
        </w:rPr>
        <w:t>，包括如僑務政策、僑團（社）僑情、僑民文教、僑民經濟、僑生教育、各國僑務機關及政策等；倘研究主題符合</w:t>
      </w:r>
      <w:r>
        <w:rPr>
          <w:rFonts w:ascii="標楷體" w:eastAsia="標楷體" w:hAnsi="標楷體"/>
          <w:b/>
          <w:sz w:val="32"/>
          <w:szCs w:val="32"/>
        </w:rPr>
        <w:t>「研究議題領域建議表」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如附件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，本會將列為優先獎助對象。</w:t>
      </w:r>
    </w:p>
    <w:p w:rsidR="002B7932" w:rsidRDefault="000B11C1">
      <w:pPr>
        <w:pStyle w:val="Web"/>
        <w:spacing w:after="0" w:line="400" w:lineRule="exact"/>
        <w:ind w:left="964" w:hanging="964"/>
        <w:jc w:val="both"/>
      </w:pPr>
      <w:r>
        <w:rPr>
          <w:rFonts w:ascii="標楷體" w:eastAsia="標楷體" w:hAnsi="標楷體"/>
          <w:sz w:val="32"/>
          <w:szCs w:val="32"/>
        </w:rPr>
        <w:t>（二）另為提升性別平等意識，並增進僑務研究領域之多元性，</w:t>
      </w:r>
      <w:r>
        <w:rPr>
          <w:rFonts w:ascii="標楷體" w:eastAsia="標楷體" w:hAnsi="標楷體"/>
          <w:b/>
          <w:sz w:val="32"/>
          <w:szCs w:val="32"/>
        </w:rPr>
        <w:t>歡迎以兼具性別平等意義探討為主題</w:t>
      </w:r>
      <w:r>
        <w:rPr>
          <w:rFonts w:ascii="標楷體" w:eastAsia="標楷體" w:hAnsi="標楷體"/>
          <w:sz w:val="32"/>
          <w:szCs w:val="32"/>
        </w:rPr>
        <w:t>之論文提出申請。</w:t>
      </w:r>
    </w:p>
    <w:p w:rsidR="002B7932" w:rsidRDefault="002B7932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</w:p>
    <w:p w:rsidR="002B7932" w:rsidRDefault="000B11C1">
      <w:pPr>
        <w:pStyle w:val="Web"/>
        <w:spacing w:after="0" w:line="400" w:lineRule="exact"/>
        <w:ind w:left="646" w:hanging="64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五、申請文件：</w:t>
      </w:r>
    </w:p>
    <w:p w:rsidR="002B7932" w:rsidRDefault="000B11C1">
      <w:pPr>
        <w:pStyle w:val="Web"/>
        <w:spacing w:after="0" w:line="400" w:lineRule="exact"/>
        <w:ind w:left="646" w:hanging="646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 xml:space="preserve">    </w:t>
      </w:r>
      <w:r>
        <w:rPr>
          <w:rFonts w:ascii="標楷體" w:eastAsia="標楷體" w:hAnsi="標楷體"/>
          <w:sz w:val="32"/>
          <w:szCs w:val="32"/>
        </w:rPr>
        <w:t>檢附</w:t>
      </w:r>
      <w:r>
        <w:rPr>
          <w:rFonts w:ascii="標楷體" w:eastAsia="標楷體" w:hAnsi="標楷體"/>
          <w:b/>
          <w:sz w:val="32"/>
          <w:szCs w:val="32"/>
        </w:rPr>
        <w:t>申請表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b/>
          <w:sz w:val="32"/>
          <w:szCs w:val="32"/>
        </w:rPr>
        <w:t>推薦表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b/>
          <w:sz w:val="32"/>
          <w:szCs w:val="32"/>
        </w:rPr>
        <w:t>論文摘要表</w:t>
      </w:r>
      <w:r>
        <w:rPr>
          <w:rFonts w:ascii="標楷體" w:eastAsia="標楷體" w:hAnsi="標楷體"/>
          <w:b/>
          <w:sz w:val="32"/>
          <w:szCs w:val="32"/>
        </w:rPr>
        <w:t>5</w:t>
      </w:r>
      <w:r>
        <w:rPr>
          <w:rFonts w:ascii="標楷體" w:eastAsia="標楷體" w:hAnsi="標楷體"/>
          <w:b/>
          <w:sz w:val="32"/>
          <w:szCs w:val="32"/>
        </w:rPr>
        <w:t>份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b/>
          <w:sz w:val="32"/>
          <w:szCs w:val="32"/>
        </w:rPr>
        <w:t>證明文件表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/>
          <w:b/>
          <w:sz w:val="32"/>
          <w:szCs w:val="32"/>
        </w:rPr>
        <w:t>著作權授權書</w:t>
      </w:r>
      <w:r>
        <w:rPr>
          <w:rFonts w:ascii="標楷體" w:eastAsia="標楷體" w:hAnsi="標楷體"/>
          <w:sz w:val="32"/>
          <w:szCs w:val="32"/>
        </w:rPr>
        <w:t>、參與審查之</w:t>
      </w:r>
      <w:r>
        <w:rPr>
          <w:rFonts w:ascii="標楷體" w:eastAsia="標楷體" w:hAnsi="標楷體"/>
          <w:b/>
          <w:sz w:val="32"/>
          <w:szCs w:val="32"/>
        </w:rPr>
        <w:t>論文</w:t>
      </w:r>
      <w:r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ascii="標楷體" w:eastAsia="標楷體" w:hAnsi="標楷體"/>
          <w:b/>
          <w:sz w:val="32"/>
          <w:szCs w:val="32"/>
        </w:rPr>
        <w:t>份、光碟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含論文全文及摘要表，</w:t>
      </w:r>
      <w:r>
        <w:rPr>
          <w:rFonts w:ascii="標楷體" w:eastAsia="標楷體" w:hAnsi="標楷體"/>
          <w:b/>
          <w:sz w:val="32"/>
          <w:szCs w:val="32"/>
        </w:rPr>
        <w:t>Word</w:t>
      </w:r>
      <w:r>
        <w:rPr>
          <w:rFonts w:ascii="標楷體" w:eastAsia="標楷體" w:hAnsi="標楷體"/>
          <w:b/>
          <w:sz w:val="32"/>
          <w:szCs w:val="32"/>
        </w:rPr>
        <w:t>格式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及其他相關資料。</w:t>
      </w:r>
    </w:p>
    <w:p w:rsidR="002B7932" w:rsidRDefault="002B7932">
      <w:pPr>
        <w:pStyle w:val="Web"/>
        <w:spacing w:after="0"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B7932" w:rsidRDefault="000B11C1">
      <w:pPr>
        <w:pStyle w:val="Standard"/>
        <w:spacing w:line="400" w:lineRule="exact"/>
        <w:ind w:left="646" w:hanging="646"/>
      </w:pPr>
      <w:r>
        <w:rPr>
          <w:rFonts w:ascii="標楷體" w:eastAsia="標楷體" w:hAnsi="標楷體"/>
          <w:sz w:val="32"/>
          <w:szCs w:val="32"/>
        </w:rPr>
        <w:t>六、更多資訊可上本會官網查詢（</w:t>
      </w:r>
      <w:r>
        <w:rPr>
          <w:rFonts w:ascii="標楷體" w:eastAsia="標楷體" w:hAnsi="標楷體" w:cs="標楷體"/>
          <w:sz w:val="32"/>
          <w:szCs w:val="32"/>
        </w:rPr>
        <w:t>網址：</w:t>
      </w:r>
      <w:r>
        <w:rPr>
          <w:rStyle w:val="Internetlink"/>
          <w:rFonts w:ascii="標楷體" w:eastAsia="標楷體" w:hAnsi="標楷體" w:cs="標楷體"/>
          <w:sz w:val="32"/>
          <w:szCs w:val="32"/>
        </w:rPr>
        <w:t>www.ocac.gov.tw</w:t>
      </w:r>
      <w:r>
        <w:rPr>
          <w:rFonts w:ascii="標楷體" w:eastAsia="標楷體" w:hAnsi="標楷體" w:cs="標楷體"/>
          <w:sz w:val="32"/>
          <w:szCs w:val="32"/>
        </w:rPr>
        <w:t>，路徑：首頁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僑務研究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碩博士論文獎助</w:t>
      </w:r>
      <w:r>
        <w:rPr>
          <w:rFonts w:ascii="標楷體" w:eastAsia="標楷體" w:hAnsi="標楷體"/>
          <w:sz w:val="32"/>
          <w:szCs w:val="32"/>
        </w:rPr>
        <w:t>），或洽綜合規劃處黃莉嘉小姐：電話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Times New Roman" w:eastAsia="標楷體" w:hAnsi="Times New Roman" w:cs="Times New Roman"/>
          <w:sz w:val="32"/>
          <w:szCs w:val="32"/>
        </w:rPr>
        <w:t>02-23272772</w:t>
      </w:r>
      <w:r>
        <w:rPr>
          <w:rFonts w:ascii="標楷體" w:eastAsia="標楷體" w:hAnsi="標楷體" w:cs="Times New Roman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Email:ligia@ocac.gov.tw</w:t>
      </w:r>
    </w:p>
    <w:p w:rsidR="002B7932" w:rsidRDefault="000B11C1">
      <w:pPr>
        <w:pStyle w:val="Standard"/>
        <w:spacing w:line="400" w:lineRule="exact"/>
        <w:ind w:left="48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2114640</wp:posOffset>
            </wp:positionH>
            <wp:positionV relativeFrom="paragraph">
              <wp:posOffset>146160</wp:posOffset>
            </wp:positionV>
            <wp:extent cx="1038240" cy="1038240"/>
            <wp:effectExtent l="0" t="0" r="9510" b="9510"/>
            <wp:wrapSquare wrapText="bothSides"/>
            <wp:docPr id="1" name="圖片 1" descr="1911031048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40" cy="1038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7932" w:rsidRDefault="002B7932">
      <w:pPr>
        <w:pStyle w:val="Standard"/>
        <w:spacing w:line="400" w:lineRule="exact"/>
        <w:ind w:left="646" w:hanging="646"/>
        <w:jc w:val="both"/>
      </w:pPr>
    </w:p>
    <w:p w:rsidR="002B7932" w:rsidRDefault="002B7932">
      <w:pPr>
        <w:pStyle w:val="Standard"/>
        <w:spacing w:line="400" w:lineRule="exact"/>
        <w:ind w:left="646" w:hanging="646"/>
        <w:jc w:val="both"/>
        <w:sectPr w:rsidR="002B7932">
          <w:pgSz w:w="11906" w:h="16838"/>
          <w:pgMar w:top="1440" w:right="1226" w:bottom="1440" w:left="1320" w:header="720" w:footer="720" w:gutter="0"/>
          <w:cols w:space="720"/>
        </w:sectPr>
      </w:pPr>
    </w:p>
    <w:p w:rsidR="002B7932" w:rsidRDefault="000B11C1">
      <w:pPr>
        <w:pStyle w:val="Standard"/>
        <w:ind w:left="-425" w:right="-56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>附件</w:t>
      </w:r>
    </w:p>
    <w:p w:rsidR="002B7932" w:rsidRDefault="000B11C1">
      <w:pPr>
        <w:pStyle w:val="Standard"/>
        <w:ind w:left="-425" w:right="-56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110</w:t>
      </w:r>
      <w:r>
        <w:rPr>
          <w:rFonts w:ascii="標楷體" w:eastAsia="標楷體" w:hAnsi="標楷體"/>
          <w:b/>
          <w:sz w:val="36"/>
          <w:szCs w:val="36"/>
        </w:rPr>
        <w:t>年「僑務研究碩博士論文獎助」研究議題領域建議表</w:t>
      </w:r>
    </w:p>
    <w:p w:rsidR="002B7932" w:rsidRDefault="002B7932">
      <w:pPr>
        <w:pStyle w:val="Standard"/>
        <w:spacing w:line="360" w:lineRule="auto"/>
        <w:ind w:right="-569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2B7932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僑務性質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論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文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研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究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議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題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綜合類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數位科技與僑務推動之研究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海外僑務工作回饋臺灣之研究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中國大陸僑務與統戰組織運作及功能之研究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僑民類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海外臺灣移民變動趨勢及衍生影響之研究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北美地區傳統僑社發展之研究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美國地區僑團推動公眾外交之研究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海外臺灣移民社會流動之研究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僑教類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東南亞華校經營現況及轉型發展之研究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文化議題融入海外華語文教學設計之行動研究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數位資訊融入僑校教學情形之研究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多媒體資訊教學策略對華語文學習表現影響之研究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海外兒童華語教材比較分析之研究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國際志工團隊與僑校間建構夥伴關係之研究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臺灣民俗文化於海外僑校推動情形之研究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僑商類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國內產業發展與僑務鏈結之研究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東南亞臺商政經影響力之研究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強化僑臺商青年加入海外僑臺商組織之策略研究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全球僑臺商（組織）因應變局之研究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ind w:left="317" w:hanging="317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增進臺灣新創產業與新南向政策國家商機交流合作之研究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0B11C1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海外臺商面對各類危機之思維與挑戰</w:t>
            </w:r>
          </w:p>
        </w:tc>
      </w:tr>
      <w:tr w:rsidR="002B7932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932" w:rsidRDefault="000B11C1">
            <w:pPr>
              <w:pStyle w:val="Standard"/>
              <w:spacing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僑生類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932" w:rsidRDefault="000B11C1">
            <w:pPr>
              <w:pStyle w:val="Standard"/>
              <w:spacing w:line="4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來臺僑生畢業返國就業與臺商鏈結之調查研究</w:t>
            </w:r>
          </w:p>
        </w:tc>
      </w:tr>
    </w:tbl>
    <w:p w:rsidR="002B7932" w:rsidRDefault="000B11C1">
      <w:pPr>
        <w:pStyle w:val="Standard"/>
        <w:spacing w:line="400" w:lineRule="exact"/>
        <w:ind w:left="646" w:hanging="646"/>
        <w:jc w:val="both"/>
      </w:pPr>
      <w:hyperlink r:id="rId9" w:history="1"/>
    </w:p>
    <w:sectPr w:rsidR="002B7932">
      <w:pgSz w:w="11906" w:h="16838"/>
      <w:pgMar w:top="1440" w:right="1226" w:bottom="144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C1" w:rsidRDefault="000B11C1">
      <w:r>
        <w:separator/>
      </w:r>
    </w:p>
  </w:endnote>
  <w:endnote w:type="continuationSeparator" w:id="0">
    <w:p w:rsidR="000B11C1" w:rsidRDefault="000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C1" w:rsidRDefault="000B11C1">
      <w:r>
        <w:rPr>
          <w:color w:val="000000"/>
        </w:rPr>
        <w:separator/>
      </w:r>
    </w:p>
  </w:footnote>
  <w:footnote w:type="continuationSeparator" w:id="0">
    <w:p w:rsidR="000B11C1" w:rsidRDefault="000B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04AD8"/>
    <w:multiLevelType w:val="multilevel"/>
    <w:tmpl w:val="24AAEBB4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7932"/>
    <w:rsid w:val="000B11C1"/>
    <w:rsid w:val="002B7932"/>
    <w:rsid w:val="006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ca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cjpan</dc:creator>
  <cp:lastModifiedBy>sai</cp:lastModifiedBy>
  <cp:revision>1</cp:revision>
  <cp:lastPrinted>2021-04-30T16:47:00Z</cp:lastPrinted>
  <dcterms:created xsi:type="dcterms:W3CDTF">2020-04-07T05:53:00Z</dcterms:created>
  <dcterms:modified xsi:type="dcterms:W3CDTF">2021-05-17T03:48:00Z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